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290E85AB"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sidR="00F45483">
              <w:rPr>
                <w:b/>
                <w:sz w:val="22"/>
                <w:lang w:bidi="it-IT"/>
              </w:rPr>
              <w:t>alla Lettera di Invito</w:t>
            </w:r>
          </w:p>
          <w:p w14:paraId="029A73EB" w14:textId="65F17159"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6180AB86" w14:textId="77777777" w:rsidR="003C4E2B" w:rsidRPr="0001702B" w:rsidRDefault="003C4E2B" w:rsidP="003C4E2B">
            <w:pPr>
              <w:pStyle w:val="Intestazione"/>
              <w:spacing w:line="360" w:lineRule="auto"/>
              <w:ind w:left="57"/>
              <w:jc w:val="center"/>
              <w:rPr>
                <w:b/>
                <w:bCs/>
                <w:iCs/>
                <w:sz w:val="22"/>
                <w:lang w:bidi="it-IT"/>
              </w:rPr>
            </w:pPr>
          </w:p>
          <w:p w14:paraId="3879F4FE" w14:textId="67AD35B0"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un Accordo Quadro ai sensi degli artt. 36, comma 2, </w:t>
            </w:r>
            <w:proofErr w:type="spellStart"/>
            <w:r w:rsidRPr="003E5D32">
              <w:rPr>
                <w:b/>
                <w:i/>
                <w:sz w:val="22"/>
                <w:lang w:bidi="it-IT"/>
              </w:rPr>
              <w:t>lett</w:t>
            </w:r>
            <w:proofErr w:type="spellEnd"/>
            <w:r w:rsidRPr="003E5D32">
              <w:rPr>
                <w:b/>
                <w:i/>
                <w:sz w:val="22"/>
                <w:lang w:bidi="it-IT"/>
              </w:rPr>
              <w:t xml:space="preserve">. b), e 54 del </w:t>
            </w:r>
            <w:proofErr w:type="spellStart"/>
            <w:r w:rsidRPr="003E5D32">
              <w:rPr>
                <w:b/>
                <w:i/>
                <w:sz w:val="22"/>
                <w:lang w:bidi="it-IT"/>
              </w:rPr>
              <w:t>D.Lgs.</w:t>
            </w:r>
            <w:proofErr w:type="spellEnd"/>
            <w:r w:rsidRPr="003E5D32">
              <w:rPr>
                <w:b/>
                <w:i/>
                <w:sz w:val="22"/>
                <w:lang w:bidi="it-IT"/>
              </w:rPr>
              <w:t xml:space="preserve"> 50/2016, per l’affidamento del “Servizio di cassa a favore </w:t>
            </w:r>
            <w:r w:rsidR="004979CE">
              <w:rPr>
                <w:b/>
                <w:i/>
                <w:sz w:val="22"/>
                <w:lang w:bidi="it-IT"/>
              </w:rPr>
              <w:t>della singola scuola</w:t>
            </w:r>
            <w:r w:rsidRPr="003E5D32">
              <w:rPr>
                <w:b/>
                <w:i/>
                <w:sz w:val="22"/>
                <w:lang w:bidi="it-IT"/>
              </w:rPr>
              <w:t>”</w:t>
            </w:r>
          </w:p>
          <w:p w14:paraId="7C5705F9" w14:textId="77777777" w:rsidR="003C4E2B" w:rsidRPr="0001702B" w:rsidRDefault="003C4E2B" w:rsidP="00CA4697">
            <w:pPr>
              <w:spacing w:line="360" w:lineRule="auto"/>
              <w:rPr>
                <w:sz w:val="22"/>
                <w:lang w:bidi="it-IT"/>
              </w:rPr>
            </w:pPr>
          </w:p>
          <w:p w14:paraId="318D293A" w14:textId="77777777" w:rsidR="003C4E2B" w:rsidRPr="0001702B" w:rsidRDefault="003C4E2B" w:rsidP="00CA4697">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9"/>
          <w:footerReference w:type="even" r:id="rId10"/>
          <w:footerReference w:type="default" r:id="rId11"/>
          <w:footerReference w:type="first" r:id="rId12"/>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F91029">
              <w:rPr>
                <w:b/>
                <w:noProof/>
                <w:webHidden/>
                <w:sz w:val="24"/>
                <w:szCs w:val="24"/>
              </w:rPr>
              <w:t>3</w:t>
            </w:r>
            <w:r w:rsidR="00582A57" w:rsidRPr="00582A57">
              <w:rPr>
                <w:b/>
                <w:noProof/>
                <w:webHidden/>
                <w:sz w:val="24"/>
                <w:szCs w:val="24"/>
              </w:rPr>
              <w:fldChar w:fldCharType="end"/>
            </w:r>
          </w:hyperlink>
        </w:p>
        <w:p w14:paraId="2BC1BD23" w14:textId="77777777" w:rsidR="00582A57" w:rsidRPr="00582A57" w:rsidRDefault="0004056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F91029">
              <w:rPr>
                <w:b/>
                <w:noProof/>
                <w:webHidden/>
                <w:sz w:val="24"/>
                <w:szCs w:val="24"/>
              </w:rPr>
              <w:t>5</w:t>
            </w:r>
            <w:r w:rsidR="00582A57" w:rsidRPr="00582A57">
              <w:rPr>
                <w:b/>
                <w:noProof/>
                <w:webHidden/>
                <w:sz w:val="24"/>
                <w:szCs w:val="24"/>
              </w:rPr>
              <w:fldChar w:fldCharType="end"/>
            </w:r>
          </w:hyperlink>
        </w:p>
        <w:p w14:paraId="4281C2C1" w14:textId="77777777" w:rsidR="00582A57" w:rsidRPr="00582A57" w:rsidRDefault="0004056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F91029">
              <w:rPr>
                <w:b/>
                <w:noProof/>
                <w:webHidden/>
                <w:sz w:val="24"/>
                <w:szCs w:val="24"/>
              </w:rPr>
              <w:t>6</w:t>
            </w:r>
            <w:r w:rsidR="00582A57" w:rsidRPr="00582A57">
              <w:rPr>
                <w:b/>
                <w:noProof/>
                <w:webHidden/>
                <w:sz w:val="24"/>
                <w:szCs w:val="24"/>
              </w:rPr>
              <w:fldChar w:fldCharType="end"/>
            </w:r>
          </w:hyperlink>
        </w:p>
        <w:p w14:paraId="07193431" w14:textId="77777777" w:rsidR="00582A57" w:rsidRPr="00582A57" w:rsidRDefault="0004056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F91029">
              <w:rPr>
                <w:webHidden/>
                <w:sz w:val="24"/>
                <w:szCs w:val="24"/>
              </w:rPr>
              <w:t>7</w:t>
            </w:r>
            <w:r w:rsidR="00582A57" w:rsidRPr="00582A57">
              <w:rPr>
                <w:webHidden/>
                <w:sz w:val="24"/>
                <w:szCs w:val="24"/>
              </w:rPr>
              <w:fldChar w:fldCharType="end"/>
            </w:r>
          </w:hyperlink>
        </w:p>
        <w:p w14:paraId="6CF3F99D" w14:textId="77777777" w:rsidR="00582A57" w:rsidRPr="00582A57" w:rsidRDefault="0004056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F91029">
              <w:rPr>
                <w:noProof/>
                <w:webHidden/>
                <w:sz w:val="24"/>
                <w:szCs w:val="24"/>
              </w:rPr>
              <w:t>7</w:t>
            </w:r>
            <w:r w:rsidR="00582A57" w:rsidRPr="00582A57">
              <w:rPr>
                <w:noProof/>
                <w:webHidden/>
                <w:sz w:val="24"/>
                <w:szCs w:val="24"/>
              </w:rPr>
              <w:fldChar w:fldCharType="end"/>
            </w:r>
          </w:hyperlink>
        </w:p>
        <w:p w14:paraId="66BBF69E" w14:textId="77777777" w:rsidR="00582A57" w:rsidRPr="00582A57" w:rsidRDefault="0004056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F91029">
              <w:rPr>
                <w:webHidden/>
                <w:sz w:val="24"/>
                <w:szCs w:val="24"/>
              </w:rPr>
              <w:t>8</w:t>
            </w:r>
            <w:r w:rsidR="00582A57" w:rsidRPr="00582A57">
              <w:rPr>
                <w:webHidden/>
                <w:sz w:val="24"/>
                <w:szCs w:val="24"/>
              </w:rPr>
              <w:fldChar w:fldCharType="end"/>
            </w:r>
          </w:hyperlink>
        </w:p>
        <w:p w14:paraId="53F0EB88" w14:textId="77777777" w:rsidR="00582A57" w:rsidRPr="00582A57" w:rsidRDefault="0004056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F91029">
              <w:rPr>
                <w:noProof/>
                <w:webHidden/>
                <w:sz w:val="24"/>
                <w:szCs w:val="24"/>
              </w:rPr>
              <w:t>9</w:t>
            </w:r>
            <w:r w:rsidR="00582A57" w:rsidRPr="00582A57">
              <w:rPr>
                <w:noProof/>
                <w:webHidden/>
                <w:sz w:val="24"/>
                <w:szCs w:val="24"/>
              </w:rPr>
              <w:fldChar w:fldCharType="end"/>
            </w:r>
          </w:hyperlink>
        </w:p>
        <w:p w14:paraId="5C889BF8" w14:textId="77777777" w:rsidR="00582A57" w:rsidRPr="00582A57" w:rsidRDefault="0004056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F91029">
              <w:rPr>
                <w:webHidden/>
                <w:sz w:val="24"/>
                <w:szCs w:val="24"/>
              </w:rPr>
              <w:t>9</w:t>
            </w:r>
            <w:r w:rsidR="00582A57" w:rsidRPr="00582A57">
              <w:rPr>
                <w:webHidden/>
                <w:sz w:val="24"/>
                <w:szCs w:val="24"/>
              </w:rPr>
              <w:fldChar w:fldCharType="end"/>
            </w:r>
          </w:hyperlink>
        </w:p>
        <w:p w14:paraId="7FD45195" w14:textId="77777777" w:rsidR="00582A57" w:rsidRPr="00582A57" w:rsidRDefault="0004056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F91029">
              <w:rPr>
                <w:webHidden/>
                <w:sz w:val="24"/>
                <w:szCs w:val="24"/>
              </w:rPr>
              <w:t>10</w:t>
            </w:r>
            <w:r w:rsidR="00582A57" w:rsidRPr="00582A57">
              <w:rPr>
                <w:webHidden/>
                <w:sz w:val="24"/>
                <w:szCs w:val="24"/>
              </w:rPr>
              <w:fldChar w:fldCharType="end"/>
            </w:r>
          </w:hyperlink>
        </w:p>
        <w:p w14:paraId="0F4AAED4" w14:textId="77777777" w:rsidR="00582A57" w:rsidRPr="00582A57" w:rsidRDefault="0004056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F91029">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3"/>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Accordi/protocolli</w:t>
      </w:r>
      <w:r w:rsidRPr="006B4694">
        <w:rPr>
          <w:sz w:val="22"/>
        </w:rPr>
        <w:t>: quanto concordato nei rispettivi tavoli tecnici con ABI e con Poste Italiane S.p.A.</w:t>
      </w:r>
      <w:r w:rsidR="00AA3E4E">
        <w:rPr>
          <w:sz w:val="22"/>
        </w:rPr>
        <w:t>.</w:t>
      </w:r>
      <w:r w:rsidRPr="006B4694">
        <w:rPr>
          <w:sz w:val="22"/>
        </w:rPr>
        <w:t xml:space="preserve"> </w:t>
      </w:r>
    </w:p>
    <w:p w14:paraId="3E3FB9CB" w14:textId="1697E880"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 xml:space="preserve">: Istituzione Scolastica </w:t>
      </w:r>
      <w:r w:rsidR="00FD2C65">
        <w:rPr>
          <w:i/>
          <w:sz w:val="22"/>
        </w:rPr>
        <w:t xml:space="preserve"> I.C. Via </w:t>
      </w:r>
      <w:proofErr w:type="spellStart"/>
      <w:r w:rsidR="00FD2C65">
        <w:rPr>
          <w:i/>
          <w:sz w:val="22"/>
        </w:rPr>
        <w:t>Linneo</w:t>
      </w:r>
      <w:proofErr w:type="spellEnd"/>
      <w:r w:rsidRPr="006B4694">
        <w:rPr>
          <w:sz w:val="22"/>
        </w:rPr>
        <w:t xml:space="preserve"> </w:t>
      </w:r>
    </w:p>
    <w:p w14:paraId="2DC7835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1884C654" w:rsidR="00FE4084" w:rsidRPr="006B4694" w:rsidRDefault="00F6637F" w:rsidP="006B4694">
      <w:pPr>
        <w:spacing w:before="120" w:after="120" w:line="360" w:lineRule="auto"/>
        <w:ind w:left="0" w:right="87" w:firstLine="9"/>
        <w:rPr>
          <w:sz w:val="18"/>
        </w:rPr>
      </w:pPr>
      <w:r w:rsidRPr="00B12E22">
        <w:rPr>
          <w:rFonts w:eastAsiaTheme="minorEastAsia"/>
          <w:color w:val="auto"/>
          <w:sz w:val="22"/>
          <w:szCs w:val="23"/>
        </w:rPr>
        <w:t xml:space="preserve">Di seguito si rappresentano gli elementi caratterizzanti </w:t>
      </w:r>
      <w:r w:rsidR="004A7424" w:rsidRPr="00B12E22">
        <w:rPr>
          <w:rFonts w:eastAsiaTheme="minorEastAsia"/>
          <w:color w:val="auto"/>
          <w:sz w:val="22"/>
          <w:szCs w:val="23"/>
        </w:rPr>
        <w:t xml:space="preserve">l’Istituto </w:t>
      </w:r>
      <w:r w:rsidR="00B12E22" w:rsidRPr="00B12E22">
        <w:rPr>
          <w:rFonts w:eastAsiaTheme="minorEastAsia"/>
          <w:color w:val="auto"/>
          <w:sz w:val="22"/>
          <w:szCs w:val="23"/>
        </w:rPr>
        <w:t xml:space="preserve">Comprensivo </w:t>
      </w:r>
      <w:r w:rsidR="00FD2C65">
        <w:rPr>
          <w:rFonts w:eastAsiaTheme="minorEastAsia"/>
          <w:color w:val="auto"/>
          <w:sz w:val="22"/>
          <w:szCs w:val="23"/>
        </w:rPr>
        <w:t xml:space="preserve">Via </w:t>
      </w:r>
      <w:proofErr w:type="spellStart"/>
      <w:r w:rsidR="00FD2C65">
        <w:rPr>
          <w:rFonts w:eastAsiaTheme="minorEastAsia"/>
          <w:color w:val="auto"/>
          <w:sz w:val="22"/>
          <w:szCs w:val="23"/>
        </w:rPr>
        <w:t>Linneo</w:t>
      </w:r>
      <w:proofErr w:type="spellEnd"/>
      <w:r w:rsidR="00FD2C65">
        <w:rPr>
          <w:rFonts w:eastAsiaTheme="minorEastAsia"/>
          <w:color w:val="auto"/>
          <w:sz w:val="22"/>
          <w:szCs w:val="23"/>
        </w:rPr>
        <w:t xml:space="preserve"> di Milano</w:t>
      </w:r>
    </w:p>
    <w:p w14:paraId="7B0103BE" w14:textId="24A9F2C1" w:rsidR="00FE4084" w:rsidRPr="006B4694" w:rsidRDefault="00FE4084" w:rsidP="006B4694">
      <w:pPr>
        <w:pStyle w:val="Paragrafoelenco"/>
        <w:numPr>
          <w:ilvl w:val="0"/>
          <w:numId w:val="2"/>
        </w:numPr>
        <w:autoSpaceDE w:val="0"/>
        <w:autoSpaceDN w:val="0"/>
        <w:adjustRightInd w:val="0"/>
        <w:spacing w:before="120" w:after="120" w:line="360" w:lineRule="auto"/>
        <w:jc w:val="left"/>
        <w:rPr>
          <w:rFonts w:eastAsiaTheme="minorEastAsia"/>
          <w:color w:val="auto"/>
          <w:sz w:val="22"/>
          <w:szCs w:val="23"/>
        </w:rPr>
      </w:pPr>
      <w:r w:rsidRPr="006B4694">
        <w:rPr>
          <w:rFonts w:eastAsiaTheme="minorEastAsia"/>
          <w:color w:val="auto"/>
          <w:sz w:val="22"/>
          <w:szCs w:val="23"/>
        </w:rPr>
        <w:t>n. alunni:</w:t>
      </w:r>
      <w:r w:rsidR="00B12E22">
        <w:rPr>
          <w:rFonts w:eastAsiaTheme="minorEastAsia"/>
          <w:i/>
          <w:color w:val="auto"/>
          <w:sz w:val="22"/>
          <w:szCs w:val="23"/>
        </w:rPr>
        <w:t xml:space="preserve"> </w:t>
      </w:r>
      <w:r w:rsidR="00465C21">
        <w:rPr>
          <w:rFonts w:eastAsiaTheme="minorEastAsia"/>
          <w:i/>
          <w:color w:val="auto"/>
          <w:sz w:val="22"/>
          <w:szCs w:val="23"/>
        </w:rPr>
        <w:t>1737</w:t>
      </w:r>
    </w:p>
    <w:p w14:paraId="70F97972" w14:textId="272BBAE1"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465C21">
        <w:rPr>
          <w:rFonts w:eastAsiaTheme="minorEastAsia"/>
          <w:i/>
          <w:color w:val="auto"/>
          <w:sz w:val="22"/>
          <w:szCs w:val="23"/>
        </w:rPr>
        <w:t>217</w:t>
      </w:r>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36121B7B" w:rsidR="00940335" w:rsidRPr="006B4694" w:rsidRDefault="00946F60" w:rsidP="00B12E22">
            <w:pPr>
              <w:spacing w:before="120" w:after="120" w:line="240" w:lineRule="auto"/>
              <w:ind w:left="284" w:right="567" w:firstLine="11"/>
              <w:jc w:val="center"/>
              <w:rPr>
                <w:szCs w:val="20"/>
              </w:rPr>
            </w:pPr>
            <w:r>
              <w:rPr>
                <w:b/>
                <w:szCs w:val="20"/>
              </w:rPr>
              <w:t xml:space="preserve">Anno </w:t>
            </w:r>
            <w:r w:rsidR="00B12E22">
              <w:rPr>
                <w:i/>
                <w:szCs w:val="20"/>
              </w:rPr>
              <w:t>2019</w:t>
            </w:r>
          </w:p>
        </w:tc>
      </w:tr>
      <w:tr w:rsidR="00940335" w:rsidRPr="006B4694"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49727E6F" w:rsidR="00940335" w:rsidRPr="00FD2C65" w:rsidRDefault="002B7CDC" w:rsidP="00380FEF">
            <w:pPr>
              <w:spacing w:before="60" w:after="60" w:line="247" w:lineRule="auto"/>
              <w:ind w:left="176" w:right="34" w:firstLine="11"/>
              <w:jc w:val="center"/>
              <w:rPr>
                <w:i/>
                <w:szCs w:val="20"/>
                <w:highlight w:val="yellow"/>
              </w:rPr>
            </w:pPr>
            <w:r w:rsidRPr="002B7CDC">
              <w:rPr>
                <w:i/>
                <w:szCs w:val="20"/>
              </w:rPr>
              <w:t>39.258,99</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4B2B366A" w:rsidR="001C3BBF" w:rsidRPr="00FD2C65" w:rsidRDefault="00180F43" w:rsidP="00380FEF">
            <w:pPr>
              <w:spacing w:before="60" w:after="60" w:line="247" w:lineRule="auto"/>
              <w:ind w:left="176" w:right="34" w:firstLine="11"/>
              <w:jc w:val="center"/>
              <w:rPr>
                <w:i/>
                <w:szCs w:val="20"/>
                <w:highlight w:val="yellow"/>
              </w:rPr>
            </w:pPr>
            <w:r w:rsidRPr="00180F43">
              <w:rPr>
                <w:i/>
                <w:szCs w:val="20"/>
              </w:rPr>
              <w:t>101</w:t>
            </w:r>
          </w:p>
        </w:tc>
      </w:tr>
      <w:tr w:rsidR="001C3BBF" w:rsidRPr="006B4694" w14:paraId="05E7CD84" w14:textId="77777777" w:rsidTr="00F067D4">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shd w:val="clear" w:color="auto" w:fill="auto"/>
          </w:tcPr>
          <w:p w14:paraId="686BAD64" w14:textId="72E0ED81" w:rsidR="001C3BBF" w:rsidRPr="00FD2C65" w:rsidRDefault="00180F43" w:rsidP="00380FEF">
            <w:pPr>
              <w:spacing w:before="60" w:after="60" w:line="247" w:lineRule="auto"/>
              <w:ind w:left="176" w:right="34" w:firstLine="11"/>
              <w:jc w:val="center"/>
              <w:rPr>
                <w:i/>
                <w:szCs w:val="20"/>
                <w:highlight w:val="yellow"/>
              </w:rPr>
            </w:pPr>
            <w:r w:rsidRPr="00180F43">
              <w:rPr>
                <w:i/>
                <w:szCs w:val="20"/>
              </w:rPr>
              <w:t>273</w:t>
            </w:r>
          </w:p>
        </w:tc>
      </w:tr>
      <w:tr w:rsidR="00361B44" w:rsidRPr="006B4694" w14:paraId="10B92190" w14:textId="77777777" w:rsidTr="00946F60">
        <w:trPr>
          <w:trHeight w:val="397"/>
        </w:trPr>
        <w:tc>
          <w:tcPr>
            <w:tcW w:w="4957" w:type="dxa"/>
          </w:tcPr>
          <w:p w14:paraId="28C401EB" w14:textId="1EE44C74" w:rsidR="00361B44" w:rsidRPr="00B84C19" w:rsidRDefault="003B1E1E" w:rsidP="00B24175">
            <w:pPr>
              <w:spacing w:before="120"/>
              <w:ind w:left="0" w:right="738" w:firstLine="9"/>
              <w:rPr>
                <w:szCs w:val="20"/>
              </w:rPr>
            </w:pPr>
            <w:r w:rsidRPr="00B84C19">
              <w:rPr>
                <w:szCs w:val="20"/>
              </w:rPr>
              <w:t>Totale entrate riscosse (€)</w:t>
            </w:r>
            <w:r w:rsidR="001A3240">
              <w:rPr>
                <w:szCs w:val="20"/>
              </w:rPr>
              <w:t xml:space="preserve">  </w:t>
            </w:r>
            <w:r w:rsidR="00361B44" w:rsidRPr="00B84C19">
              <w:rPr>
                <w:szCs w:val="20"/>
              </w:rPr>
              <w:t xml:space="preserve">                     </w:t>
            </w:r>
          </w:p>
        </w:tc>
        <w:tc>
          <w:tcPr>
            <w:tcW w:w="1984" w:type="dxa"/>
          </w:tcPr>
          <w:p w14:paraId="028A5A5C" w14:textId="21C59206" w:rsidR="00361B44" w:rsidRPr="00FD2C65" w:rsidRDefault="00180F43" w:rsidP="00F067D4">
            <w:pPr>
              <w:spacing w:before="60" w:after="60" w:line="247" w:lineRule="auto"/>
              <w:ind w:left="176" w:right="34" w:firstLine="11"/>
              <w:jc w:val="center"/>
              <w:rPr>
                <w:i/>
                <w:szCs w:val="20"/>
                <w:highlight w:val="yellow"/>
              </w:rPr>
            </w:pPr>
            <w:r>
              <w:t>391.704,64</w:t>
            </w:r>
          </w:p>
        </w:tc>
      </w:tr>
      <w:tr w:rsidR="00361B44" w:rsidRPr="006B4694" w14:paraId="7E638A4B" w14:textId="77777777" w:rsidTr="00F067D4">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shd w:val="clear" w:color="auto" w:fill="auto"/>
          </w:tcPr>
          <w:p w14:paraId="7D7EA3EC" w14:textId="45750024" w:rsidR="002B7CDC" w:rsidRPr="002B7CDC" w:rsidRDefault="00180F43" w:rsidP="00380FEF">
            <w:pPr>
              <w:spacing w:before="60" w:after="60" w:line="247" w:lineRule="auto"/>
              <w:ind w:left="176" w:right="34" w:firstLine="11"/>
              <w:jc w:val="center"/>
            </w:pPr>
            <w:r>
              <w:t>340.490,38</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5439E833" w:rsidR="00361B44" w:rsidRPr="00FD2C65" w:rsidRDefault="00F067D4" w:rsidP="00380FEF">
            <w:pPr>
              <w:spacing w:before="60" w:after="60" w:line="247" w:lineRule="auto"/>
              <w:ind w:left="176" w:right="34" w:firstLine="11"/>
              <w:jc w:val="center"/>
              <w:rPr>
                <w:i/>
                <w:szCs w:val="20"/>
                <w:highlight w:val="yellow"/>
              </w:rPr>
            </w:pPr>
            <w:r w:rsidRPr="00180F43">
              <w:rPr>
                <w:i/>
                <w:szCs w:val="20"/>
              </w:rPr>
              <w:t>0</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4C8DBF8C" w14:textId="77777777" w:rsidR="00F067D4" w:rsidRDefault="00F067D4" w:rsidP="006B4694">
      <w:pPr>
        <w:spacing w:before="120" w:after="120" w:line="360" w:lineRule="auto"/>
        <w:ind w:left="0" w:right="85"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2" w:name="_Toc525914853"/>
      <w:r w:rsidRPr="006B4694">
        <w:rPr>
          <w:b/>
          <w:sz w:val="24"/>
        </w:rPr>
        <w:lastRenderedPageBreak/>
        <w:t>2. Oggetto dell’Appalto</w:t>
      </w:r>
      <w:bookmarkEnd w:id="2"/>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3" w:name="_Toc525914854"/>
      <w:r w:rsidRPr="006B4694">
        <w:rPr>
          <w:b/>
          <w:sz w:val="22"/>
        </w:rPr>
        <w:t>2.1 Gestione delle riscossioni</w:t>
      </w:r>
      <w:bookmarkEnd w:id="3"/>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4" w:name="_Toc525914855"/>
      <w:r w:rsidRPr="00B66A89">
        <w:rPr>
          <w:sz w:val="22"/>
        </w:rPr>
        <w:t>2.1.1 Attivazione strumenti di incasso</w:t>
      </w:r>
      <w:bookmarkEnd w:id="4"/>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lastRenderedPageBreak/>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5" w:name="_Toc525914856"/>
      <w:r w:rsidRPr="006B4694">
        <w:rPr>
          <w:b/>
          <w:sz w:val="22"/>
        </w:rPr>
        <w:t>2.2 Gestione dei pagamenti</w:t>
      </w:r>
      <w:bookmarkEnd w:id="5"/>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w:t>
      </w:r>
      <w:r w:rsidRPr="006B4694">
        <w:rPr>
          <w:sz w:val="22"/>
        </w:rPr>
        <w:lastRenderedPageBreak/>
        <w:t xml:space="preserve">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58289E3F" w14:textId="77777777" w:rsidR="0077231E" w:rsidRPr="006B4694" w:rsidRDefault="00B933F9" w:rsidP="006B4694">
      <w:pPr>
        <w:pStyle w:val="Titolo3"/>
        <w:spacing w:before="120" w:after="120" w:line="360" w:lineRule="auto"/>
        <w:ind w:left="0" w:firstLine="9"/>
        <w:jc w:val="both"/>
        <w:rPr>
          <w:sz w:val="22"/>
        </w:rPr>
      </w:pPr>
      <w:bookmarkStart w:id="6"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6"/>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4BB41A3F" w14:textId="7A97AF87" w:rsidR="004F41B7" w:rsidRPr="006B4694" w:rsidRDefault="00D2216C" w:rsidP="006B4694">
      <w:pPr>
        <w:pStyle w:val="Titolo2"/>
        <w:spacing w:before="120" w:after="120" w:line="360" w:lineRule="auto"/>
        <w:ind w:left="0"/>
        <w:jc w:val="left"/>
        <w:rPr>
          <w:b/>
          <w:sz w:val="22"/>
        </w:rPr>
      </w:pPr>
      <w:bookmarkStart w:id="7" w:name="_Toc525914858"/>
      <w:bookmarkStart w:id="8" w:name="_GoBack"/>
      <w:bookmarkEnd w:id="8"/>
      <w:r w:rsidRPr="006B4694">
        <w:rPr>
          <w:b/>
          <w:sz w:val="22"/>
        </w:rPr>
        <w:t>2.</w:t>
      </w:r>
      <w:r w:rsidR="00727EFB">
        <w:rPr>
          <w:b/>
          <w:sz w:val="22"/>
        </w:rPr>
        <w:t>3</w:t>
      </w:r>
      <w:r w:rsidR="00B933F9" w:rsidRPr="006B4694">
        <w:rPr>
          <w:b/>
          <w:sz w:val="22"/>
        </w:rPr>
        <w:t xml:space="preserve"> Anticipazioni di cassa</w:t>
      </w:r>
      <w:bookmarkEnd w:id="7"/>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4"/>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DA407" w14:textId="77777777" w:rsidR="00546542" w:rsidRDefault="00546542">
      <w:pPr>
        <w:spacing w:after="0" w:line="240" w:lineRule="auto"/>
      </w:pPr>
      <w:r>
        <w:separator/>
      </w:r>
    </w:p>
  </w:endnote>
  <w:endnote w:type="continuationSeparator" w:id="0">
    <w:p w14:paraId="1DD4FFE0" w14:textId="77777777" w:rsidR="00546542" w:rsidRDefault="0054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05426ADE" w14:textId="6CA5D71E" w:rsidR="00C931F4" w:rsidRDefault="00C931F4">
        <w:pPr>
          <w:pStyle w:val="Pidipagina"/>
          <w:jc w:val="center"/>
        </w:pPr>
        <w:r>
          <w:fldChar w:fldCharType="begin"/>
        </w:r>
        <w:r>
          <w:instrText>PAGE   \* MERGEFORMAT</w:instrText>
        </w:r>
        <w:r>
          <w:fldChar w:fldCharType="separate"/>
        </w:r>
        <w:r w:rsidR="00040562">
          <w:rPr>
            <w:noProof/>
          </w:rPr>
          <w:t>2</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7255F" w14:textId="77777777" w:rsidR="00546542" w:rsidRDefault="00546542">
      <w:pPr>
        <w:spacing w:after="0" w:line="216" w:lineRule="auto"/>
        <w:ind w:left="6" w:right="753" w:firstLine="1"/>
      </w:pPr>
      <w:r>
        <w:separator/>
      </w:r>
    </w:p>
  </w:footnote>
  <w:footnote w:type="continuationSeparator" w:id="0">
    <w:p w14:paraId="46F56F4D" w14:textId="77777777" w:rsidR="00546542" w:rsidRDefault="00546542">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7B87" w14:textId="5D11D7E5"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FD78AF">
      <w:rPr>
        <w:rFonts w:eastAsia="Calibri"/>
        <w:i/>
        <w:color w:val="auto"/>
        <w:szCs w:val="20"/>
        <w:lang w:bidi="it-IT"/>
      </w:rPr>
      <w:t>lett</w:t>
    </w:r>
    <w:proofErr w:type="spellEnd"/>
    <w:r w:rsidRPr="00FD78AF">
      <w:rPr>
        <w:rFonts w:eastAsia="Calibri"/>
        <w:i/>
        <w:color w:val="auto"/>
        <w:szCs w:val="20"/>
        <w:lang w:bidi="it-IT"/>
      </w:rPr>
      <w:t xml:space="preserve">. b),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004979CE">
      <w:rPr>
        <w:rFonts w:eastAsia="Calibri"/>
        <w:i/>
        <w:color w:val="auto"/>
        <w:szCs w:val="20"/>
        <w:lang w:bidi="it-IT"/>
      </w:rPr>
      <w:t xml:space="preserve">, </w:t>
    </w:r>
    <w:r w:rsidRPr="00FD78AF">
      <w:rPr>
        <w:rFonts w:eastAsia="Calibri"/>
        <w:i/>
        <w:color w:val="auto"/>
        <w:szCs w:val="20"/>
        <w:lang w:bidi="it-IT"/>
      </w:rPr>
      <w:t>per l’affidamento del “Servizio di cassa a favore d</w:t>
    </w:r>
    <w:r w:rsidR="004979CE">
      <w:rPr>
        <w:rFonts w:eastAsia="Calibri"/>
        <w:i/>
        <w:color w:val="auto"/>
        <w:szCs w:val="20"/>
        <w:lang w:bidi="it-IT"/>
      </w:rPr>
      <w:t>ell’I</w:t>
    </w:r>
    <w:r w:rsidR="00FD2C65">
      <w:rPr>
        <w:rFonts w:eastAsia="Calibri"/>
        <w:i/>
        <w:color w:val="auto"/>
        <w:szCs w:val="20"/>
        <w:lang w:bidi="it-IT"/>
      </w:rPr>
      <w:t xml:space="preserve">.C. Via </w:t>
    </w:r>
    <w:proofErr w:type="spellStart"/>
    <w:r w:rsidR="00FD2C65">
      <w:rPr>
        <w:rFonts w:eastAsia="Calibri"/>
        <w:i/>
        <w:color w:val="auto"/>
        <w:szCs w:val="20"/>
        <w:lang w:bidi="it-IT"/>
      </w:rPr>
      <w:t>Linneo</w:t>
    </w:r>
    <w:proofErr w:type="spellEnd"/>
    <w:r w:rsidR="004979CE">
      <w:rPr>
        <w:rFonts w:eastAsia="Calibri"/>
        <w:i/>
        <w:color w:val="auto"/>
        <w:szCs w:val="20"/>
        <w:lang w:bidi="it-IT"/>
      </w:rPr>
      <w:t xml:space="preserve"> di </w:t>
    </w:r>
    <w:r w:rsidR="00FD2C65">
      <w:rPr>
        <w:rFonts w:eastAsia="Calibri"/>
        <w:i/>
        <w:color w:val="auto"/>
        <w:szCs w:val="20"/>
        <w:lang w:bidi="it-IT"/>
      </w:rPr>
      <w:t>Milano</w:t>
    </w:r>
    <w:r w:rsidR="004979CE">
      <w:rPr>
        <w:rFonts w:eastAsia="Calibri"/>
        <w:i/>
        <w:color w:val="auto"/>
        <w:szCs w:val="20"/>
        <w:lang w:bidi="it-IT"/>
      </w:rPr>
      <w:t xml:space="preserve"> (MI)</w:t>
    </w:r>
    <w:r w:rsidRPr="00FD78AF">
      <w:rPr>
        <w:rFonts w:eastAsia="Calibri"/>
        <w:i/>
        <w:color w:val="auto"/>
        <w:szCs w:val="20"/>
        <w:lang w:bidi="it-IT"/>
      </w:rPr>
      <w:t>”</w:t>
    </w:r>
  </w:p>
  <w:p w14:paraId="7C878CFC" w14:textId="77777777" w:rsidR="004979CE" w:rsidRPr="002A6576" w:rsidRDefault="004979CE" w:rsidP="004979CE">
    <w:pPr>
      <w:pStyle w:val="INPS052headint"/>
      <w:spacing w:line="240" w:lineRule="auto"/>
      <w:rPr>
        <w:rFonts w:ascii="Times New Roman" w:hAnsi="Times New Roman"/>
        <w:i/>
      </w:rPr>
    </w:pPr>
  </w:p>
  <w:p w14:paraId="4EDA15B0" w14:textId="77777777" w:rsidR="00FD78AF" w:rsidRDefault="00FD78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9CDE3" w14:textId="05F8B3E5"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FD78AF">
      <w:rPr>
        <w:rFonts w:eastAsia="Calibri"/>
        <w:i/>
        <w:color w:val="auto"/>
        <w:szCs w:val="20"/>
        <w:lang w:bidi="it-IT"/>
      </w:rPr>
      <w:t>lett</w:t>
    </w:r>
    <w:proofErr w:type="spellEnd"/>
    <w:r w:rsidRPr="00FD78AF">
      <w:rPr>
        <w:rFonts w:eastAsia="Calibri"/>
        <w:i/>
        <w:color w:val="auto"/>
        <w:szCs w:val="20"/>
        <w:lang w:bidi="it-IT"/>
      </w:rPr>
      <w:t xml:space="preserve">. b), e 54 del </w:t>
    </w:r>
    <w:proofErr w:type="spellStart"/>
    <w:r w:rsidRPr="00FD78AF">
      <w:rPr>
        <w:rFonts w:eastAsia="Calibri"/>
        <w:i/>
        <w:color w:val="auto"/>
        <w:szCs w:val="20"/>
        <w:lang w:bidi="it-IT"/>
      </w:rPr>
      <w:t>D.Lgs.</w:t>
    </w:r>
    <w:proofErr w:type="spellEnd"/>
    <w:r w:rsidRPr="00FD78AF">
      <w:rPr>
        <w:rFonts w:eastAsia="Calibri"/>
        <w:i/>
        <w:color w:val="auto"/>
        <w:szCs w:val="20"/>
        <w:lang w:bidi="it-IT"/>
      </w:rPr>
      <w:t xml:space="preserve"> 50/2016,</w:t>
    </w:r>
    <w:r w:rsidRPr="003E5D32">
      <w:rPr>
        <w:b/>
        <w:i/>
        <w:sz w:val="22"/>
        <w:lang w:bidi="it-IT"/>
      </w:rPr>
      <w:t xml:space="preserve"> </w:t>
    </w:r>
    <w:r w:rsidRPr="00FD78AF">
      <w:rPr>
        <w:rFonts w:eastAsia="Calibri"/>
        <w:i/>
        <w:color w:val="auto"/>
        <w:szCs w:val="20"/>
        <w:lang w:bidi="it-IT"/>
      </w:rPr>
      <w:t>per l’affidamento del “Servizio di cassa a favore d</w:t>
    </w:r>
    <w:r w:rsidR="00B12E22">
      <w:rPr>
        <w:rFonts w:eastAsia="Calibri"/>
        <w:i/>
        <w:color w:val="auto"/>
        <w:szCs w:val="20"/>
        <w:lang w:bidi="it-IT"/>
      </w:rPr>
      <w:t>ella singola scuola</w:t>
    </w:r>
    <w:r w:rsidRPr="00FD78AF">
      <w:rPr>
        <w:rFonts w:eastAsia="Calibri"/>
        <w:i/>
        <w:color w:val="auto"/>
        <w:szCs w:val="20"/>
        <w:lang w:bidi="it-IT"/>
      </w:rPr>
      <w:t>”</w:t>
    </w:r>
  </w:p>
  <w:p w14:paraId="11E5D271" w14:textId="77777777" w:rsidR="00FD78AF" w:rsidRPr="002A6576" w:rsidRDefault="00FD78AF" w:rsidP="00FD78AF">
    <w:pPr>
      <w:pStyle w:val="INPS052headint"/>
      <w:spacing w:line="240" w:lineRule="auto"/>
      <w:jc w:val="center"/>
      <w:rPr>
        <w:rFonts w:ascii="Times New Roman" w:hAnsi="Times New Roman"/>
        <w:i/>
      </w:rPr>
    </w:pPr>
  </w:p>
  <w:p w14:paraId="38C6E988" w14:textId="77777777" w:rsidR="00FD78AF" w:rsidRDefault="00FD78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346A"/>
    <w:rsid w:val="0000368D"/>
    <w:rsid w:val="00026C85"/>
    <w:rsid w:val="00040562"/>
    <w:rsid w:val="000571E6"/>
    <w:rsid w:val="00064691"/>
    <w:rsid w:val="000666D3"/>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0F43"/>
    <w:rsid w:val="00181E19"/>
    <w:rsid w:val="00184003"/>
    <w:rsid w:val="001917C0"/>
    <w:rsid w:val="001946D9"/>
    <w:rsid w:val="001A09F0"/>
    <w:rsid w:val="001A2843"/>
    <w:rsid w:val="001A3240"/>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B7CDC"/>
    <w:rsid w:val="002C366F"/>
    <w:rsid w:val="002E7846"/>
    <w:rsid w:val="002F15F1"/>
    <w:rsid w:val="002F2BB8"/>
    <w:rsid w:val="002F30E1"/>
    <w:rsid w:val="002F7080"/>
    <w:rsid w:val="003154FC"/>
    <w:rsid w:val="00322572"/>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1C91"/>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65C21"/>
    <w:rsid w:val="004709F0"/>
    <w:rsid w:val="00474D07"/>
    <w:rsid w:val="00476591"/>
    <w:rsid w:val="004829D5"/>
    <w:rsid w:val="00485B6E"/>
    <w:rsid w:val="00490773"/>
    <w:rsid w:val="004979CE"/>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44362"/>
    <w:rsid w:val="00546542"/>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04DB"/>
    <w:rsid w:val="00673A3F"/>
    <w:rsid w:val="006806F5"/>
    <w:rsid w:val="00686F16"/>
    <w:rsid w:val="00696057"/>
    <w:rsid w:val="006A015D"/>
    <w:rsid w:val="006A573E"/>
    <w:rsid w:val="006B00A3"/>
    <w:rsid w:val="006B4694"/>
    <w:rsid w:val="006C39FF"/>
    <w:rsid w:val="006C4007"/>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2E22"/>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67925"/>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067D4"/>
    <w:rsid w:val="00F23508"/>
    <w:rsid w:val="00F2371A"/>
    <w:rsid w:val="00F273A7"/>
    <w:rsid w:val="00F33FB1"/>
    <w:rsid w:val="00F45483"/>
    <w:rsid w:val="00F54D07"/>
    <w:rsid w:val="00F6637F"/>
    <w:rsid w:val="00F72293"/>
    <w:rsid w:val="00F74988"/>
    <w:rsid w:val="00F80973"/>
    <w:rsid w:val="00F91029"/>
    <w:rsid w:val="00F9471F"/>
    <w:rsid w:val="00F96191"/>
    <w:rsid w:val="00F96885"/>
    <w:rsid w:val="00FB489A"/>
    <w:rsid w:val="00FC6DB0"/>
    <w:rsid w:val="00FD0B2F"/>
    <w:rsid w:val="00FD1093"/>
    <w:rsid w:val="00FD2C65"/>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BE8A-AF23-43D1-9495-91B328E3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11</Pages>
  <Words>2891</Words>
  <Characters>16483</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cp:lastModifiedBy>DSGA</cp:lastModifiedBy>
  <cp:revision>5</cp:revision>
  <cp:lastPrinted>2020-06-05T07:58:00Z</cp:lastPrinted>
  <dcterms:created xsi:type="dcterms:W3CDTF">2020-06-05T14:33:00Z</dcterms:created>
  <dcterms:modified xsi:type="dcterms:W3CDTF">2020-09-24T12:17:00Z</dcterms:modified>
</cp:coreProperties>
</file>